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6"/>
        <w:gridCol w:w="1337"/>
        <w:gridCol w:w="26"/>
        <w:gridCol w:w="32"/>
        <w:gridCol w:w="214"/>
        <w:gridCol w:w="591"/>
        <w:gridCol w:w="182"/>
        <w:gridCol w:w="87"/>
        <w:gridCol w:w="105"/>
        <w:gridCol w:w="68"/>
        <w:gridCol w:w="90"/>
        <w:gridCol w:w="80"/>
        <w:gridCol w:w="122"/>
        <w:gridCol w:w="825"/>
        <w:gridCol w:w="103"/>
        <w:gridCol w:w="124"/>
        <w:gridCol w:w="978"/>
        <w:gridCol w:w="624"/>
        <w:gridCol w:w="60"/>
        <w:gridCol w:w="107"/>
        <w:gridCol w:w="75"/>
        <w:gridCol w:w="589"/>
        <w:gridCol w:w="34"/>
        <w:gridCol w:w="769"/>
        <w:gridCol w:w="117"/>
        <w:gridCol w:w="325"/>
        <w:gridCol w:w="1004"/>
        <w:gridCol w:w="300"/>
        <w:gridCol w:w="879"/>
        <w:gridCol w:w="170"/>
        <w:gridCol w:w="39"/>
        <w:gridCol w:w="10"/>
        <w:gridCol w:w="7"/>
        <w:gridCol w:w="20"/>
        <w:gridCol w:w="11"/>
        <w:gridCol w:w="6"/>
        <w:gridCol w:w="6"/>
        <w:gridCol w:w="6"/>
        <w:gridCol w:w="8"/>
        <w:gridCol w:w="40"/>
        <w:gridCol w:w="40"/>
        <w:gridCol w:w="7"/>
      </w:tblGrid>
      <w:tr w:rsidR="00840A0E" w:rsidRPr="0019341D" w:rsidTr="005E1093">
        <w:trPr>
          <w:gridAfter w:val="3"/>
          <w:wAfter w:w="87" w:type="dxa"/>
          <w:trHeight w:val="283"/>
        </w:trPr>
        <w:tc>
          <w:tcPr>
            <w:tcW w:w="2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" w:type="dxa"/>
          </w:tcPr>
          <w:p w:rsidR="00840A0E" w:rsidRDefault="00797C00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DFD0E5C" wp14:editId="201CDD3B">
                  <wp:simplePos x="0" y="0"/>
                  <wp:positionH relativeFrom="character">
                    <wp:posOffset>5715</wp:posOffset>
                  </wp:positionH>
                  <wp:positionV relativeFrom="line">
                    <wp:posOffset>-262890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7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45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9944F5" w:rsidRDefault="00797C00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:rsidR="0019341D" w:rsidRDefault="0019341D"/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:rsidTr="005E1093">
        <w:trPr>
          <w:gridAfter w:val="3"/>
          <w:wAfter w:w="87" w:type="dxa"/>
          <w:trHeight w:val="220"/>
        </w:trPr>
        <w:tc>
          <w:tcPr>
            <w:tcW w:w="23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5E1093">
        <w:trPr>
          <w:gridAfter w:val="4"/>
          <w:wAfter w:w="95" w:type="dxa"/>
          <w:trHeight w:val="9934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29" w:type="dxa"/>
            <w:gridSpan w:val="30"/>
          </w:tcPr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C6802" w:rsidRPr="001C680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E5FD303" wp14:editId="0D2EE4DF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19341D" w:rsidRPr="007E7B8B" w:rsidRDefault="007E7B8B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797C00" w:rsidRPr="00797C0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6E2588" w:rsidTr="005E1093">
              <w:trPr>
                <w:trHeight w:val="8008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97C00" w:rsidRPr="007E7B8B" w:rsidRDefault="00797C00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797C00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E7B8B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</w:t>
                        </w:r>
                        <w:r w:rsidR="00797C00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797C00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19341D" w:rsidRPr="006E2588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97C00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ФИНАНСЫ, ДЕНЕЖНОЕ ОБРАЩЕНИЕ И КРЕДИТ</w:t>
                        </w:r>
                      </w:p>
                    </w:tc>
                  </w:tr>
                </w:tbl>
                <w:p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:rsidR="0019341D" w:rsidRPr="007E7B8B" w:rsidRDefault="007E7B8B" w:rsidP="007E7B8B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19341D"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19341D" w:rsidRPr="007E7B8B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19341D" w:rsidRPr="007E7B8B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5E1093" w:rsidRPr="005E1093" w:rsidRDefault="006E2588" w:rsidP="005E109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E2588" w:rsidTr="005E1093">
        <w:trPr>
          <w:gridAfter w:val="3"/>
          <w:wAfter w:w="87" w:type="dxa"/>
          <w:trHeight w:val="245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E2588" w:rsidTr="005E1093">
        <w:trPr>
          <w:gridAfter w:val="3"/>
          <w:wAfter w:w="87" w:type="dxa"/>
          <w:trHeight w:val="266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5E1093">
        <w:trPr>
          <w:gridAfter w:val="3"/>
          <w:wAfter w:w="87" w:type="dxa"/>
          <w:trHeight w:val="425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605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7E7B8B" w:rsidRDefault="002311B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:rsidR="002311BD" w:rsidRPr="007E7B8B" w:rsidRDefault="007E7B8B" w:rsidP="001934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97C0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6" w:type="dxa"/>
            <w:gridSpan w:val="3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3" w:type="dxa"/>
            <w:gridSpan w:val="4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6E2588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Рабочая программа учебной дисциплины «</w:t>
            </w:r>
            <w:r w:rsidR="007A194D" w:rsidRPr="007A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составлена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</w:t>
            </w:r>
            <w:r w:rsidR="007A19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нного приказом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Мин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брнауки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6E2588" w:rsidTr="005E1093">
        <w:trPr>
          <w:gridAfter w:val="5"/>
          <w:wAfter w:w="101" w:type="dxa"/>
          <w:trHeight w:val="283"/>
        </w:trPr>
        <w:tc>
          <w:tcPr>
            <w:tcW w:w="2508" w:type="dxa"/>
            <w:gridSpan w:val="9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E2588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6E2588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44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6E2588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211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Tr="005E1093">
        <w:trPr>
          <w:gridAfter w:val="5"/>
          <w:wAfter w:w="101" w:type="dxa"/>
          <w:trHeight w:val="425"/>
        </w:trPr>
        <w:tc>
          <w:tcPr>
            <w:tcW w:w="250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E2588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1676B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1676B5" w:rsidRDefault="001676B5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6E2588" w:rsidTr="005E1093">
        <w:trPr>
          <w:gridAfter w:val="5"/>
          <w:wAfter w:w="101" w:type="dxa"/>
          <w:trHeight w:val="103"/>
        </w:trPr>
        <w:tc>
          <w:tcPr>
            <w:tcW w:w="2508" w:type="dxa"/>
            <w:gridSpan w:val="9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6E2588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E2588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A194D" w:rsidRPr="00287CB0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Рабочая</w:t>
                  </w:r>
                  <w:r w:rsidR="00797C00" w:rsidRPr="0041147F">
                    <w:rPr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797C00">
                    <w:rPr>
                      <w:sz w:val="28"/>
                      <w:szCs w:val="28"/>
                      <w:lang w:val="ru-RU"/>
                    </w:rPr>
                    <w:t xml:space="preserve"> учебной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97C00" w:rsidRPr="00797C00"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797C00" w:rsidRPr="00797C00">
                    <w:rPr>
                      <w:sz w:val="28"/>
                      <w:szCs w:val="28"/>
                      <w:lang w:val="ru-RU"/>
                    </w:rPr>
                    <w:t xml:space="preserve"> 2025 г. № 9.</w:t>
                  </w:r>
                </w:p>
                <w:p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6E2588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p w:rsidR="001C6802" w:rsidRDefault="001C6802">
            <w:pPr>
              <w:rPr>
                <w:lang w:val="ru-RU"/>
              </w:rPr>
            </w:pPr>
          </w:p>
          <w:p w:rsidR="001C6802" w:rsidRPr="001C6802" w:rsidRDefault="001C680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E2588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41147F" w:rsidRDefault="001676B5" w:rsidP="001C6802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6E2588" w:rsidTr="005E1093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239" w:type="dxa"/>
            <w:gridSpan w:val="7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2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8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27" w:type="dxa"/>
            <w:gridSpan w:val="3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96" w:type="dxa"/>
            <w:gridSpan w:val="6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5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34" w:type="dxa"/>
            <w:gridSpan w:val="5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6" w:type="dxa"/>
            <w:gridSpan w:val="14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0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</w:t>
      </w:r>
      <w:proofErr w:type="gramEnd"/>
      <w:r w:rsidRPr="0041147F">
        <w:rPr>
          <w:sz w:val="28"/>
          <w:szCs w:val="28"/>
          <w:lang w:val="ru-RU"/>
        </w:rPr>
        <w:t xml:space="preserve"> </w:t>
      </w:r>
    </w:p>
    <w:p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</w:t>
      </w:r>
      <w:r w:rsidR="001C6802" w:rsidRPr="001C680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D19D83" wp14:editId="5A949BA8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6802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О.А. Чистякова</w:t>
      </w:r>
    </w:p>
    <w:p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6E2588" w:rsidTr="0019341D">
        <w:trPr>
          <w:trHeight w:val="53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rPr>
          <w:trHeight w:val="425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A43B24" w:rsidRPr="005D707E" w:rsidRDefault="00A43B24">
            <w:pPr>
              <w:rPr>
                <w:lang w:val="ru-RU"/>
              </w:rPr>
            </w:pPr>
          </w:p>
          <w:p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41"/>
        </w:trPr>
        <w:tc>
          <w:tcPr>
            <w:tcW w:w="124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6E2588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E2588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E2588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167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E2588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proofErr w:type="gramStart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c>
          <w:tcPr>
            <w:tcW w:w="124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:rsidTr="0019341D">
        <w:trPr>
          <w:trHeight w:val="186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6E2588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20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E2588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6E2588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является обязательной частью общепрофессионального цикла примерной 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новной образовательной программы в соответствии с ФГОС по специальности 38.02.07 Банковское дело. </w:t>
                  </w:r>
                </w:p>
                <w:p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6E2588" w:rsidTr="0019341D">
        <w:trPr>
          <w:trHeight w:val="7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6E2588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6E2588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обходимой для выполнения задач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общечеловеческих ценн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во-кредитных отношений, позволяющие свободно </w:t>
                  </w:r>
                  <w:proofErr w:type="gramStart"/>
                  <w:r w:rsidRPr="003160C8">
                    <w:rPr>
                      <w:sz w:val="28"/>
                      <w:szCs w:val="28"/>
                      <w:lang w:val="ru-RU"/>
                    </w:rPr>
                    <w:t>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lastRenderedPageBreak/>
                    <w:t>ре финансовых рынков и понимать</w:t>
                  </w:r>
                  <w:proofErr w:type="gramEnd"/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актуальный профессиональный и социальный контекст, в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кото-ром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приходится работать и жить; основные источники информации и ресурсы для решения задач и проблем в профессиональном и/или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соци-альном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контексте;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ластях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методы работы в профессиональной и смежных сферах;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-туру плана для решения задач; порядок оценки результатов решения задач профессиональной деятельности;</w:t>
                  </w:r>
                  <w:proofErr w:type="gramEnd"/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ональной деятельности; приемы структурирования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информа-ции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формат оформления результатов поиска информации;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психологи-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ческие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особенности личности; основы проектной деятельности;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сущность гражданско-патриотической позиции,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общечеловече-ских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ценностей; значимость профессиональной деятельности по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специ-альности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стандарты антикоррупционного поведения и последствия его нарушения;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менения и программное обеспечение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правила построения простых и сложных предложений на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темы; основные общеупотребительные глаголы (быто-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вая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профессиональная лексика); лексический минимум, относящийся к описанию предметов, средств и процессов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особенности произношения; правила чтения текстов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профес-сиональной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направленности;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уметь: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выявлять и эффективно искать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владеть актуальными методами работы в профессиональной и смежных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сферах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реализовать составленный план; оценивать результат и последствия своих действий (самостоятельно или с помощью настав-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ника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);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определять задачи для поиска информации; определять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необхо-димые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источники информации; планировать процесс поиска;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структу-рировать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чаемую информацию; выделять наиболее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значимое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пе-речне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нальную терминологию; определять и выстраивать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траекто-рии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организовывать работу коллектива и команды;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взаимодейство-вать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 коллегами, руководством, клиентами в ходе профессиональной деятельности;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описывать значимость своей специальности; применять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стандар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-ты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зовые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ональные темы; строить простые высказывания о себе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нальной деятельности; кратко обосновывать 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объ-яснить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выявлять достоинства и недостатки коммерческой идеи;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презен-товать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идеи открытия собственного дела в профессиональной деятель-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центным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инвестиционную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привлека-тельность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коммерческих идей в рамках профессиональной деятельно-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презентовать бизнес-идею; определять источники финансирования. </w:t>
                  </w:r>
                </w:p>
                <w:p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6E2588" w:rsidTr="0019341D">
        <w:trPr>
          <w:trHeight w:val="62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76</w:t>
                  </w:r>
                </w:p>
              </w:tc>
            </w:tr>
            <w:tr w:rsidR="00467F03" w:rsidRPr="00D41E7B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C6802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8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:rsidR="00840A0E" w:rsidRDefault="00840A0E" w:rsidP="0019341D"/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07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31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:rsidTr="008C0BD6">
        <w:trPr>
          <w:trHeight w:val="66"/>
        </w:trPr>
        <w:tc>
          <w:tcPr>
            <w:tcW w:w="15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6E2588" w:rsidTr="00933BDF">
        <w:trPr>
          <w:trHeight w:val="20"/>
        </w:trPr>
        <w:tc>
          <w:tcPr>
            <w:tcW w:w="743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F7E0F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80" w:type="pct"/>
          </w:tcPr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:rsidTr="005D707E">
        <w:trPr>
          <w:trHeight w:val="3499"/>
        </w:trPr>
        <w:tc>
          <w:tcPr>
            <w:tcW w:w="743" w:type="pct"/>
            <w:vMerge w:val="restart"/>
          </w:tcPr>
          <w:p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2707A2" w:rsidRPr="00CB731D" w:rsidRDefault="000570B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2707A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800AA" w:rsidRPr="00CB731D" w:rsidRDefault="00192356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0570B9">
        <w:trPr>
          <w:trHeight w:val="675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45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6E2588" w:rsidTr="00146FBD">
        <w:trPr>
          <w:trHeight w:val="2538"/>
        </w:trPr>
        <w:tc>
          <w:tcPr>
            <w:tcW w:w="743" w:type="pct"/>
            <w:vMerge w:val="restart"/>
          </w:tcPr>
          <w:p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10119B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ОК-11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0119B">
        <w:trPr>
          <w:trHeight w:val="41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55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6E2588" w:rsidTr="005D707E">
        <w:trPr>
          <w:trHeight w:val="338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 xml:space="preserve">Понятие и структура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мента на предприятии. Законы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46FB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63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76390">
        <w:trPr>
          <w:trHeight w:val="270"/>
        </w:trPr>
        <w:tc>
          <w:tcPr>
            <w:tcW w:w="743" w:type="pct"/>
            <w:vMerge/>
          </w:tcPr>
          <w:p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6E2588" w:rsidTr="005D707E">
        <w:trPr>
          <w:trHeight w:val="126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:rsidR="0010119B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-11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03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6E2588" w:rsidTr="005D707E">
        <w:trPr>
          <w:trHeight w:val="3637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ОК-9, ОК-10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:rsidTr="00933BDF">
        <w:trPr>
          <w:trHeight w:val="20"/>
        </w:trPr>
        <w:tc>
          <w:tcPr>
            <w:tcW w:w="743" w:type="pct"/>
            <w:vMerge/>
          </w:tcPr>
          <w:p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44C23">
        <w:trPr>
          <w:trHeight w:val="69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D06B2">
        <w:trPr>
          <w:trHeight w:val="2272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9D06B2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692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419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EE6FB8">
        <w:trPr>
          <w:trHeight w:val="1116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</w:t>
            </w:r>
            <w:proofErr w:type="spellStart"/>
            <w:r w:rsidRPr="00CB731D">
              <w:rPr>
                <w:sz w:val="24"/>
                <w:szCs w:val="24"/>
                <w:lang w:val="ru-RU"/>
              </w:rPr>
              <w:t>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</w:t>
            </w:r>
            <w:proofErr w:type="spellEnd"/>
            <w:r w:rsidRPr="00CB731D">
              <w:rPr>
                <w:sz w:val="24"/>
                <w:szCs w:val="24"/>
                <w:lang w:val="ru-RU"/>
              </w:rPr>
              <w:t xml:space="preserve">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8B79B1">
        <w:trPr>
          <w:trHeight w:val="289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95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2264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4B2BA1">
        <w:trPr>
          <w:trHeight w:val="1751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933BDF">
        <w:trPr>
          <w:trHeight w:val="20"/>
        </w:trPr>
        <w:tc>
          <w:tcPr>
            <w:tcW w:w="743" w:type="pct"/>
            <w:vMerge w:val="restart"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c>
          <w:tcPr>
            <w:tcW w:w="3910" w:type="pct"/>
            <w:gridSpan w:val="2"/>
          </w:tcPr>
          <w:p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:rsidR="008B79B1" w:rsidRPr="00CB731D" w:rsidRDefault="001C680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C55905">
        <w:trPr>
          <w:trHeight w:val="396"/>
        </w:trPr>
        <w:tc>
          <w:tcPr>
            <w:tcW w:w="3910" w:type="pct"/>
            <w:gridSpan w:val="2"/>
          </w:tcPr>
          <w:p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:rsidR="008B79B1" w:rsidRPr="00CB731D" w:rsidRDefault="001C6802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610" w:type="pct"/>
          </w:tcPr>
          <w:p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p w:rsidR="00BF7CED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Финансы, денежное обращение и кредит: учебник и практикум для СПО / Д.В. Бураков [и др.]; под ред. Д.В. </w:t>
      </w:r>
      <w:proofErr w:type="spellStart"/>
      <w:r w:rsidRPr="004547F4">
        <w:rPr>
          <w:sz w:val="28"/>
          <w:szCs w:val="28"/>
        </w:rPr>
        <w:t>Буракова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Москва: </w:t>
      </w:r>
      <w:proofErr w:type="gramStart"/>
      <w:r w:rsidRPr="004547F4">
        <w:rPr>
          <w:sz w:val="28"/>
          <w:szCs w:val="28"/>
        </w:rPr>
        <w:t xml:space="preserve">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366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образование).</w:t>
      </w:r>
      <w:proofErr w:type="gramEnd"/>
      <w:r w:rsidRPr="004547F4">
        <w:rPr>
          <w:sz w:val="28"/>
          <w:szCs w:val="28"/>
        </w:rPr>
        <w:t xml:space="preserve"> — ISBN 978-5-534-10231-4.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3" w:tgtFrame="_blank" w:history="1">
        <w:r w:rsidRPr="004547F4">
          <w:rPr>
            <w:sz w:val="28"/>
            <w:szCs w:val="28"/>
          </w:rPr>
          <w:t>https://biblio-online.ru/bcode/429626</w:t>
        </w:r>
      </w:hyperlink>
    </w:p>
    <w:p w:rsidR="00D418BA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>, И.К. Финансы организаций. Практикум: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 xml:space="preserve">него профессионального образования / </w:t>
      </w:r>
      <w:proofErr w:type="gramStart"/>
      <w:r w:rsidRPr="004547F4">
        <w:rPr>
          <w:sz w:val="28"/>
          <w:szCs w:val="28"/>
        </w:rPr>
        <w:t>И. К.</w:t>
      </w:r>
      <w:proofErr w:type="gramEnd"/>
      <w:r w:rsidRPr="004547F4">
        <w:rPr>
          <w:sz w:val="28"/>
          <w:szCs w:val="28"/>
        </w:rPr>
        <w:t xml:space="preserve"> </w:t>
      </w: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123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978-5-534-10975-7.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4" w:tgtFrame="_blank" w:history="1">
        <w:r w:rsidRPr="004547F4">
          <w:rPr>
            <w:sz w:val="28"/>
            <w:szCs w:val="28"/>
          </w:rPr>
          <w:t>https://biblio-online.ru/bcode/437497</w:t>
        </w:r>
      </w:hyperlink>
    </w:p>
    <w:p w:rsidR="00D676D4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, Ю.А. Деньги, кредит, банки: учебник и практикум для среднего профессионального образования / Ю.А. </w:t>
      </w: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397 с. — (Профессиональное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 xml:space="preserve">ние). — ISBN 978-5-534-11208-5.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5" w:tgtFrame="_blank" w:history="1">
        <w:r w:rsidRPr="004547F4">
          <w:rPr>
            <w:sz w:val="28"/>
            <w:szCs w:val="28"/>
          </w:rPr>
          <w:t>https://biblio-online.ru/bcode/444739</w:t>
        </w:r>
      </w:hyperlink>
    </w:p>
    <w:p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p w:rsidR="00BF7CED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 А. Абрамовой, Л. С. Александровой.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436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978-5-534-06559-6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6" w:tgtFrame="_blank" w:history="1">
        <w:r w:rsidRPr="004547F4">
          <w:rPr>
            <w:sz w:val="28"/>
            <w:szCs w:val="28"/>
          </w:rPr>
          <w:t>https://biblio-online.ru/bcode/437032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Михайленко, М. Н. Финансовые рынки и институты: учебник и практикум для среднего профессионального образования / М. Н. Михайленко.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336 с. — (Профе</w:t>
      </w:r>
      <w:r w:rsidRPr="004547F4">
        <w:rPr>
          <w:sz w:val="28"/>
          <w:szCs w:val="28"/>
        </w:rPr>
        <w:t>с</w:t>
      </w:r>
      <w:r w:rsidRPr="004547F4">
        <w:rPr>
          <w:sz w:val="28"/>
          <w:szCs w:val="28"/>
        </w:rPr>
        <w:t>сиональное образование). — ISBN 978-5-534-00927-9. — Текст: электро</w:t>
      </w:r>
      <w:r w:rsidRPr="004547F4">
        <w:rPr>
          <w:sz w:val="28"/>
          <w:szCs w:val="28"/>
        </w:rPr>
        <w:t>н</w:t>
      </w:r>
      <w:r w:rsidRPr="004547F4">
        <w:rPr>
          <w:sz w:val="28"/>
          <w:szCs w:val="28"/>
        </w:rPr>
        <w:t xml:space="preserve">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7" w:tgtFrame="_blank" w:history="1">
        <w:r w:rsidRPr="004547F4">
          <w:rPr>
            <w:sz w:val="28"/>
            <w:szCs w:val="28"/>
          </w:rPr>
          <w:t>https://biblio-online.ru/bcode/434361</w:t>
        </w:r>
      </w:hyperlink>
    </w:p>
    <w:p w:rsidR="00BE32E3" w:rsidRDefault="00BE32E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Теория принятия решений и управление рисками в финансовой и налоговой сферах / Новиков А.И., </w:t>
      </w:r>
      <w:proofErr w:type="spellStart"/>
      <w:r w:rsidRPr="000E5721">
        <w:rPr>
          <w:sz w:val="28"/>
          <w:szCs w:val="28"/>
        </w:rPr>
        <w:t>Солодкая</w:t>
      </w:r>
      <w:proofErr w:type="spellEnd"/>
      <w:r w:rsidRPr="000E5721">
        <w:rPr>
          <w:sz w:val="28"/>
          <w:szCs w:val="28"/>
        </w:rPr>
        <w:t xml:space="preserve"> Т.И. – М.: Дашков и К, 2017. - 288 с. 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жим доступа: </w:t>
      </w:r>
      <w:hyperlink r:id="rId18" w:history="1">
        <w:r w:rsidRPr="000E5721">
          <w:rPr>
            <w:sz w:val="28"/>
            <w:szCs w:val="28"/>
          </w:rPr>
          <w:t>http://znanium.com/go.php?id=415289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proofErr w:type="gramStart"/>
      <w:r w:rsidRPr="004547F4">
        <w:rPr>
          <w:sz w:val="28"/>
          <w:szCs w:val="28"/>
        </w:rPr>
        <w:t>Чалдаева</w:t>
      </w:r>
      <w:proofErr w:type="spellEnd"/>
      <w:r w:rsidRPr="004547F4">
        <w:rPr>
          <w:sz w:val="28"/>
          <w:szCs w:val="28"/>
        </w:rPr>
        <w:t xml:space="preserve">, Л.А. Финансы, денежное обращение и кредит: учебник для СПО / А.В. </w:t>
      </w:r>
      <w:proofErr w:type="spellStart"/>
      <w:r w:rsidRPr="004547F4">
        <w:rPr>
          <w:sz w:val="28"/>
          <w:szCs w:val="28"/>
        </w:rPr>
        <w:t>Дыдыкин</w:t>
      </w:r>
      <w:proofErr w:type="spellEnd"/>
      <w:r w:rsidRPr="004547F4">
        <w:rPr>
          <w:sz w:val="28"/>
          <w:szCs w:val="28"/>
        </w:rPr>
        <w:t xml:space="preserve">; под ред. Л.А. </w:t>
      </w:r>
      <w:proofErr w:type="spellStart"/>
      <w:r w:rsidRPr="004547F4">
        <w:rPr>
          <w:sz w:val="28"/>
          <w:szCs w:val="28"/>
        </w:rPr>
        <w:t>Чалдаевой</w:t>
      </w:r>
      <w:proofErr w:type="spellEnd"/>
      <w:r w:rsidRPr="004547F4">
        <w:rPr>
          <w:sz w:val="28"/>
          <w:szCs w:val="28"/>
        </w:rPr>
        <w:t xml:space="preserve">. — 3-е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>. и доп. — М.: И</w:t>
      </w:r>
      <w:r w:rsidRPr="004547F4">
        <w:rPr>
          <w:sz w:val="28"/>
          <w:szCs w:val="28"/>
        </w:rPr>
        <w:t>з</w:t>
      </w:r>
      <w:r w:rsidRPr="004547F4">
        <w:rPr>
          <w:sz w:val="28"/>
          <w:szCs w:val="28"/>
        </w:rPr>
        <w:lastRenderedPageBreak/>
        <w:t xml:space="preserve">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381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>ние).</w:t>
      </w:r>
      <w:proofErr w:type="gramEnd"/>
      <w:r w:rsidRPr="004547F4">
        <w:rPr>
          <w:sz w:val="28"/>
          <w:szCs w:val="28"/>
        </w:rPr>
        <w:t xml:space="preserve"> — ISBN 978-5-534-02963-5.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9" w:tgtFrame="_blank" w:history="1">
        <w:r w:rsidRPr="004547F4">
          <w:rPr>
            <w:sz w:val="28"/>
            <w:szCs w:val="28"/>
          </w:rPr>
          <w:t>https://biblio-online.ru/bcode/433332</w:t>
        </w:r>
      </w:hyperlink>
    </w:p>
    <w:p w:rsidR="00D25CB3" w:rsidRPr="004547F4" w:rsidRDefault="00D25CB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 А.В. Основы финансовой грамотности: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>него профессионального образования / А.В. </w:t>
      </w: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, Е.А. Тарханова. — Москва: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2021. — 154 с. — (Профессиональное образ</w:t>
      </w:r>
      <w:r w:rsidRPr="004547F4">
        <w:rPr>
          <w:sz w:val="28"/>
          <w:szCs w:val="28"/>
        </w:rPr>
        <w:t>о</w:t>
      </w:r>
      <w:r w:rsidRPr="004547F4">
        <w:rPr>
          <w:sz w:val="28"/>
          <w:szCs w:val="28"/>
        </w:rPr>
        <w:t xml:space="preserve">вание). — Текст: электронный // Образовательная платформа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. — URL: </w:t>
      </w:r>
      <w:hyperlink r:id="rId20" w:tgtFrame="_blank" w:history="1">
        <w:r w:rsidRPr="004547F4">
          <w:rPr>
            <w:sz w:val="28"/>
            <w:szCs w:val="28"/>
          </w:rPr>
          <w:t>https://urait.ru/bcode/466897</w:t>
        </w:r>
      </w:hyperlink>
    </w:p>
    <w:p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proofErr w:type="spellStart"/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  <w:proofErr w:type="spellEnd"/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</w:t>
      </w:r>
      <w:proofErr w:type="spellStart"/>
      <w:r w:rsidRPr="000E5721">
        <w:rPr>
          <w:sz w:val="28"/>
          <w:szCs w:val="28"/>
        </w:rPr>
        <w:t>микрофинансовой</w:t>
      </w:r>
      <w:proofErr w:type="spellEnd"/>
      <w:r w:rsidRPr="000E5721">
        <w:rPr>
          <w:sz w:val="28"/>
          <w:szCs w:val="28"/>
        </w:rPr>
        <w:t xml:space="preserve"> деятельности и </w:t>
      </w:r>
      <w:proofErr w:type="spellStart"/>
      <w:r w:rsidRPr="000E5721">
        <w:rPr>
          <w:sz w:val="28"/>
          <w:szCs w:val="28"/>
        </w:rPr>
        <w:t>микрофинансовых</w:t>
      </w:r>
      <w:proofErr w:type="spellEnd"/>
      <w:r w:rsidRPr="000E5721">
        <w:rPr>
          <w:sz w:val="28"/>
          <w:szCs w:val="28"/>
        </w:rPr>
        <w:t xml:space="preserve">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418BA" w:rsidRDefault="00D418BA" w:rsidP="003927B7">
      <w:pPr>
        <w:ind w:right="56"/>
        <w:rPr>
          <w:lang w:val="ru-RU"/>
        </w:rPr>
      </w:pPr>
    </w:p>
    <w:p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6E2588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lastRenderedPageBreak/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>Сайт Министерства финансов и налоговой политики Новосибирской о</w:t>
      </w:r>
      <w:r w:rsidRPr="00BE32E3">
        <w:rPr>
          <w:color w:val="000000"/>
          <w:sz w:val="28"/>
          <w:szCs w:val="28"/>
          <w:lang w:val="ru-RU"/>
        </w:rPr>
        <w:t>б</w:t>
      </w:r>
      <w:r w:rsidRPr="00BE32E3">
        <w:rPr>
          <w:color w:val="000000"/>
          <w:sz w:val="28"/>
          <w:szCs w:val="28"/>
          <w:lang w:val="ru-RU"/>
        </w:rPr>
        <w:t xml:space="preserve">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:rsidR="00BE32E3" w:rsidRPr="00BE32E3" w:rsidRDefault="006E2588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proofErr w:type="gramStart"/>
      <w:r w:rsidRPr="00BE32E3">
        <w:rPr>
          <w:sz w:val="28"/>
          <w:szCs w:val="28"/>
          <w:lang w:val="ru-RU"/>
        </w:rPr>
        <w:t>Федеральный</w:t>
      </w:r>
      <w:proofErr w:type="gramEnd"/>
      <w:r w:rsidRPr="00BE32E3">
        <w:rPr>
          <w:sz w:val="28"/>
          <w:szCs w:val="28"/>
          <w:lang w:val="ru-RU"/>
        </w:rPr>
        <w:t xml:space="preserve"> методический центр по финансовой грамотности системы общего и среднего профессионального образования – </w:t>
      </w:r>
      <w:r w:rsidR="006E2588">
        <w:fldChar w:fldCharType="begin"/>
      </w:r>
      <w:r w:rsidR="006E2588" w:rsidRPr="006E2588">
        <w:rPr>
          <w:lang w:val="ru-RU"/>
        </w:rPr>
        <w:instrText xml:space="preserve"> </w:instrText>
      </w:r>
      <w:r w:rsidR="006E2588">
        <w:instrText>HYPERLINK</w:instrText>
      </w:r>
      <w:r w:rsidR="006E2588" w:rsidRPr="006E2588">
        <w:rPr>
          <w:lang w:val="ru-RU"/>
        </w:rPr>
        <w:instrText xml:space="preserve"> "</w:instrText>
      </w:r>
      <w:r w:rsidR="006E2588">
        <w:instrText>http</w:instrText>
      </w:r>
      <w:r w:rsidR="006E2588" w:rsidRPr="006E2588">
        <w:rPr>
          <w:lang w:val="ru-RU"/>
        </w:rPr>
        <w:instrText>://</w:instrText>
      </w:r>
      <w:r w:rsidR="006E2588">
        <w:instrText>www</w:instrText>
      </w:r>
      <w:r w:rsidR="006E2588" w:rsidRPr="006E2588">
        <w:rPr>
          <w:lang w:val="ru-RU"/>
        </w:rPr>
        <w:instrText>.</w:instrText>
      </w:r>
      <w:r w:rsidR="006E2588">
        <w:instrText>fmc</w:instrText>
      </w:r>
      <w:r w:rsidR="006E2588" w:rsidRPr="006E2588">
        <w:rPr>
          <w:lang w:val="ru-RU"/>
        </w:rPr>
        <w:instrText>.</w:instrText>
      </w:r>
      <w:r w:rsidR="006E2588">
        <w:instrText>hse</w:instrText>
      </w:r>
      <w:r w:rsidR="006E2588" w:rsidRPr="006E2588">
        <w:rPr>
          <w:lang w:val="ru-RU"/>
        </w:rPr>
        <w:instrText>.</w:instrText>
      </w:r>
      <w:r w:rsidR="006E2588">
        <w:instrText>ru</w:instrText>
      </w:r>
      <w:r w:rsidR="006E2588" w:rsidRPr="006E2588">
        <w:rPr>
          <w:lang w:val="ru-RU"/>
        </w:rPr>
        <w:instrText xml:space="preserve">" </w:instrText>
      </w:r>
      <w:r w:rsidR="006E2588">
        <w:fldChar w:fldCharType="separate"/>
      </w:r>
      <w:r w:rsidRPr="00BE32E3">
        <w:rPr>
          <w:rStyle w:val="a5"/>
          <w:sz w:val="28"/>
          <w:szCs w:val="28"/>
          <w:lang w:val="ru-RU"/>
        </w:rPr>
        <w:t>www.fmc.hse.ru</w:t>
      </w:r>
      <w:r w:rsidR="006E2588">
        <w:rPr>
          <w:rStyle w:val="a5"/>
          <w:sz w:val="28"/>
          <w:szCs w:val="28"/>
          <w:lang w:val="ru-RU"/>
        </w:rPr>
        <w:fldChar w:fldCharType="end"/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</w:t>
      </w:r>
      <w:proofErr w:type="spellStart"/>
      <w:r w:rsidRPr="00BE32E3">
        <w:rPr>
          <w:sz w:val="28"/>
          <w:szCs w:val="28"/>
          <w:lang w:val="ru-RU"/>
        </w:rPr>
        <w:t>Russia</w:t>
      </w:r>
      <w:proofErr w:type="spellEnd"/>
      <w:r w:rsidRPr="00BE32E3">
        <w:rPr>
          <w:sz w:val="28"/>
          <w:szCs w:val="28"/>
          <w:lang w:val="ru-RU"/>
        </w:rPr>
        <w:t xml:space="preserve">)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proofErr w:type="spellStart"/>
      <w:r w:rsidRPr="00BE32E3">
        <w:rPr>
          <w:sz w:val="28"/>
          <w:szCs w:val="28"/>
          <w:lang w:val="ru-RU"/>
        </w:rPr>
        <w:t>РосБизнесКонСалтинг</w:t>
      </w:r>
      <w:proofErr w:type="spellEnd"/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proofErr w:type="spellStart"/>
      <w:r w:rsidRPr="00BE32E3">
        <w:rPr>
          <w:sz w:val="28"/>
          <w:szCs w:val="28"/>
          <w:lang w:val="ru-RU"/>
        </w:rPr>
        <w:t>Вашифинансы</w:t>
      </w:r>
      <w:proofErr w:type="gramStart"/>
      <w:r w:rsidRPr="00BE32E3">
        <w:rPr>
          <w:sz w:val="28"/>
          <w:szCs w:val="28"/>
          <w:lang w:val="ru-RU"/>
        </w:rPr>
        <w:t>.р</w:t>
      </w:r>
      <w:proofErr w:type="gramEnd"/>
      <w:r w:rsidRPr="00BE32E3">
        <w:rPr>
          <w:sz w:val="28"/>
          <w:szCs w:val="28"/>
          <w:lang w:val="ru-RU"/>
        </w:rPr>
        <w:t>ф</w:t>
      </w:r>
      <w:proofErr w:type="spellEnd"/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Информационно-правовой портал «</w:t>
      </w:r>
      <w:proofErr w:type="spellStart"/>
      <w:r w:rsidRPr="00BE32E3">
        <w:rPr>
          <w:sz w:val="28"/>
          <w:szCs w:val="28"/>
          <w:lang w:val="ru-RU"/>
        </w:rPr>
        <w:t>КонсультантПлюс</w:t>
      </w:r>
      <w:proofErr w:type="spellEnd"/>
      <w:r w:rsidRPr="00BE32E3">
        <w:rPr>
          <w:sz w:val="28"/>
          <w:szCs w:val="28"/>
          <w:lang w:val="ru-RU"/>
        </w:rPr>
        <w:t xml:space="preserve">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3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</w:t>
      </w:r>
      <w:r w:rsidRPr="00BE32E3">
        <w:rPr>
          <w:sz w:val="28"/>
          <w:szCs w:val="28"/>
          <w:lang w:val="ru-RU"/>
        </w:rPr>
        <w:t>к</w:t>
      </w:r>
      <w:r w:rsidRPr="00BE32E3">
        <w:rPr>
          <w:sz w:val="28"/>
          <w:szCs w:val="28"/>
          <w:lang w:val="ru-RU"/>
        </w:rPr>
        <w:t>тронный ресурс]. — URL: https://fmc.hse.ru/vaginvideo</w:t>
      </w:r>
    </w:p>
    <w:p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:rsidR="00D418BA" w:rsidRPr="005D707E" w:rsidRDefault="00DF309C" w:rsidP="001C6802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гулирующие отношения организ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ции и государства в области 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гообложения, Налоговый кодекс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Российской Федерации;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щ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ность налогов;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 умение использовать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общих компетенций.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:rsidTr="00DF309C">
        <w:trPr>
          <w:trHeight w:val="896"/>
        </w:trPr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блему в профессиональном и/или социальном контексте; анализир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вать задачу и/или проблему и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делять её составные части;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лять этапы решения задачи;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выя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и эффективно искать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инфо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мацию, необходимую для решения задачи и/или проблемы;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лить необходимые ресурсы;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сферах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; реализовать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ставленный план; оценивать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зультат и последствия своих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ствий (самостоятельно или с п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мощью наставника);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формации; определять необход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 источники информации; пл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нировать процесс поиска; структ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рировать получаемую информ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цию; выделять наиболее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значимое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в перечне информации; оценивать практическую значимость резул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татов поиска; оформлять результ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ты поиска;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траект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рии профессионального развития и самообразования;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 и команды; взаимодействовать с коллегами, руководством, клие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тами в ходе профессиональной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тельности;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сиональной тематике на госуда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ственном языке, проявлять тол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рантность в рабочем коллективе;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онных технологий для решения профессиональных задач; испол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зовать современное программное обеспечение;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ные и бытовые), понимать тексты на базовые профессиональные 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мы; участвовать в диалогах на зн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комые общие и профессиональные темы; строить простые высказыв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ния о себе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 своей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нальной деятельности; кратко обосновывать и объяснить свои действия (текущие и планиру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мые); писать простые связные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общения на знакомые или интер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ствующем налоговом з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конодательстве Росси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proofErr w:type="gramStart"/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</w:t>
            </w:r>
            <w:proofErr w:type="gramEnd"/>
            <w:r w:rsidR="007C2F4C" w:rsidRPr="00DF309C">
              <w:rPr>
                <w:color w:val="000000"/>
                <w:sz w:val="24"/>
                <w:szCs w:val="24"/>
                <w:lang w:val="ru-RU"/>
              </w:rPr>
              <w:t xml:space="preserve">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Демонстрация умений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а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37" w:rsidRDefault="00731F37" w:rsidP="006B1A33">
      <w:r>
        <w:separator/>
      </w:r>
    </w:p>
  </w:endnote>
  <w:endnote w:type="continuationSeparator" w:id="0">
    <w:p w:rsidR="00731F37" w:rsidRDefault="00731F37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37" w:rsidRDefault="00731F37" w:rsidP="006B1A33">
      <w:r>
        <w:separator/>
      </w:r>
    </w:p>
  </w:footnote>
  <w:footnote w:type="continuationSeparator" w:id="0">
    <w:p w:rsidR="00731F37" w:rsidRDefault="00731F37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21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7"/>
  </w:num>
  <w:num w:numId="17">
    <w:abstractNumId w:val="25"/>
  </w:num>
  <w:num w:numId="18">
    <w:abstractNumId w:val="1"/>
  </w:num>
  <w:num w:numId="19">
    <w:abstractNumId w:val="5"/>
  </w:num>
  <w:num w:numId="20">
    <w:abstractNumId w:val="19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789B"/>
    <w:rsid w:val="00094C91"/>
    <w:rsid w:val="000A43B7"/>
    <w:rsid w:val="000B26C9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C6802"/>
    <w:rsid w:val="001E43BC"/>
    <w:rsid w:val="001F493B"/>
    <w:rsid w:val="001F4E29"/>
    <w:rsid w:val="00227B36"/>
    <w:rsid w:val="002311BD"/>
    <w:rsid w:val="002707A2"/>
    <w:rsid w:val="00287CB0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1093"/>
    <w:rsid w:val="005F26B5"/>
    <w:rsid w:val="006059F2"/>
    <w:rsid w:val="006554CC"/>
    <w:rsid w:val="006611DA"/>
    <w:rsid w:val="0066434E"/>
    <w:rsid w:val="00681736"/>
    <w:rsid w:val="006B1A33"/>
    <w:rsid w:val="006C775D"/>
    <w:rsid w:val="006E2588"/>
    <w:rsid w:val="006E63D9"/>
    <w:rsid w:val="00703ED0"/>
    <w:rsid w:val="00724670"/>
    <w:rsid w:val="00731F37"/>
    <w:rsid w:val="0073219B"/>
    <w:rsid w:val="00743E5B"/>
    <w:rsid w:val="007861BA"/>
    <w:rsid w:val="00797C00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bcode/429626" TargetMode="Externa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siora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rbc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s://urait.ru/bcode/466897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://www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o-strahovanie.ru" TargetMode="External"/><Relationship Id="rId40" Type="http://schemas.openxmlformats.org/officeDocument/2006/relationships/hyperlink" Target="https://www.moex.com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4473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nalogkodeks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3332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497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iblfrussia.org" TargetMode="External"/><Relationship Id="rId43" Type="http://schemas.openxmlformats.org/officeDocument/2006/relationships/hyperlink" Target="http://www.pfrf.ru/files/id/press_center/pr/uchebnik/SchoolBook__2018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11</cp:revision>
  <cp:lastPrinted>2022-06-17T02:24:00Z</cp:lastPrinted>
  <dcterms:created xsi:type="dcterms:W3CDTF">2022-06-10T03:12:00Z</dcterms:created>
  <dcterms:modified xsi:type="dcterms:W3CDTF">2025-11-20T05:12:00Z</dcterms:modified>
</cp:coreProperties>
</file>